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2563EB"/>
          <w:sz w:val="34"/>
        </w:rPr>
        <w:t>CONTRACT CHECKLIST BEFORE YOU SIGN</w:t>
      </w:r>
    </w:p>
    <w:p>
      <w:pPr>
        <w:spacing w:after="160"/>
      </w:pPr>
      <w:r>
        <w:rPr>
          <w:b w:val="0"/>
          <w:i w:val="0"/>
          <w:sz w:val="20"/>
        </w:rPr>
        <w:t>Read the agreement once from start to end, then go through these checks with the agreement open beside you. Tick each box, and write the clause number and your concern in Notes.</w:t>
      </w:r>
    </w:p>
    <w:p>
      <w:pPr>
        <w:spacing w:after="120"/>
      </w:pPr>
      <w:r>
        <w:rPr>
          <w:b w:val="0"/>
          <w:i/>
          <w:color w:val="64748B"/>
          <w:sz w:val="18"/>
        </w:rPr>
        <w:t>Guidance: This checklist is a reminder of what to read carefully. It is not legal advice; for property, loans, large amounts or long terms, take your notes to a lawyer.</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F0FE"/>
          </w:tcPr>
          <w:p>
            <w:r>
              <w:rPr>
                <w:b/>
                <w:sz w:val="20"/>
              </w:rPr>
              <w:t>Agreement</w:t>
            </w:r>
          </w:p>
        </w:tc>
        <w:tc>
          <w:tcPr>
            <w:tcW w:type="dxa" w:w="2409"/>
            <w:shd w:val="clear" w:color="auto" w:fill="FFF7D6"/>
          </w:tcPr>
          <w:p>
            <w:r>
              <w:rPr>
                <w:sz w:val="20"/>
              </w:rPr>
              <w:t>[name / type]</w:t>
            </w:r>
          </w:p>
        </w:tc>
        <w:tc>
          <w:tcPr>
            <w:tcW w:type="dxa" w:w="2409"/>
            <w:shd w:val="clear" w:color="auto" w:fill="E8F0FE"/>
          </w:tcPr>
          <w:p>
            <w:r>
              <w:rPr>
                <w:b/>
                <w:sz w:val="20"/>
              </w:rPr>
              <w:t>Other party</w:t>
            </w:r>
          </w:p>
        </w:tc>
        <w:tc>
          <w:tcPr>
            <w:tcW w:type="dxa" w:w="2409"/>
            <w:shd w:val="clear" w:color="auto" w:fill="FFF7D6"/>
          </w:tcPr>
          <w:p>
            <w:r>
              <w:rPr>
                <w:sz w:val="20"/>
              </w:rPr>
              <w:t>[ ]</w:t>
            </w:r>
          </w:p>
        </w:tc>
      </w:tr>
      <w:tr>
        <w:tc>
          <w:tcPr>
            <w:tcW w:type="dxa" w:w="2409"/>
            <w:shd w:val="clear" w:color="auto" w:fill="E8F0FE"/>
          </w:tcPr>
          <w:p>
            <w:r>
              <w:rPr>
                <w:b/>
                <w:sz w:val="20"/>
              </w:rPr>
              <w:t>Value</w:t>
            </w:r>
          </w:p>
        </w:tc>
        <w:tc>
          <w:tcPr>
            <w:tcW w:type="dxa" w:w="2409"/>
            <w:shd w:val="clear" w:color="auto" w:fill="FFF7D6"/>
          </w:tcPr>
          <w:p>
            <w:r>
              <w:rPr>
                <w:sz w:val="20"/>
              </w:rPr>
              <w:t>[amount and currency]</w:t>
            </w:r>
          </w:p>
        </w:tc>
        <w:tc>
          <w:tcPr>
            <w:tcW w:type="dxa" w:w="2409"/>
            <w:shd w:val="clear" w:color="auto" w:fill="E8F0FE"/>
          </w:tcPr>
          <w:p>
            <w:r>
              <w:rPr>
                <w:b/>
                <w:sz w:val="20"/>
              </w:rPr>
              <w:t>Start and end</w:t>
            </w:r>
          </w:p>
        </w:tc>
        <w:tc>
          <w:tcPr>
            <w:tcW w:type="dxa" w:w="2409"/>
            <w:shd w:val="clear" w:color="auto" w:fill="FFF7D6"/>
          </w:tcPr>
          <w:p>
            <w:r>
              <w:rPr>
                <w:sz w:val="20"/>
              </w:rPr>
              <w:t>[ ]</w:t>
            </w:r>
          </w:p>
        </w:tc>
      </w:tr>
      <w:tr>
        <w:tc>
          <w:tcPr>
            <w:tcW w:type="dxa" w:w="2409"/>
            <w:shd w:val="clear" w:color="auto" w:fill="E8F0FE"/>
          </w:tcPr>
          <w:p>
            <w:r>
              <w:rPr>
                <w:b/>
                <w:sz w:val="20"/>
              </w:rPr>
              <w:t>Received on</w:t>
            </w:r>
          </w:p>
        </w:tc>
        <w:tc>
          <w:tcPr>
            <w:tcW w:type="dxa" w:w="2409"/>
            <w:shd w:val="clear" w:color="auto" w:fill="FFF7D6"/>
          </w:tcPr>
          <w:p>
            <w:r>
              <w:rPr>
                <w:sz w:val="20"/>
              </w:rPr>
              <w:t>[ ]</w:t>
            </w:r>
          </w:p>
        </w:tc>
        <w:tc>
          <w:tcPr>
            <w:tcW w:type="dxa" w:w="2409"/>
            <w:shd w:val="clear" w:color="auto" w:fill="E8F0FE"/>
          </w:tcPr>
          <w:p>
            <w:r>
              <w:rPr>
                <w:b/>
                <w:sz w:val="20"/>
              </w:rPr>
              <w:t>Sign by (deadline)</w:t>
            </w:r>
          </w:p>
        </w:tc>
        <w:tc>
          <w:tcPr>
            <w:tcW w:type="dxa" w:w="2409"/>
            <w:shd w:val="clear" w:color="auto" w:fill="FFF7D6"/>
          </w:tcPr>
          <w:p>
            <w:r>
              <w:rPr>
                <w:sz w:val="20"/>
              </w:rPr>
              <w:t>[ ]</w:t>
            </w:r>
          </w:p>
        </w:tc>
      </w:tr>
      <w:tr>
        <w:tc>
          <w:tcPr>
            <w:tcW w:type="dxa" w:w="2409"/>
            <w:shd w:val="clear" w:color="auto" w:fill="E8F0FE"/>
          </w:tcPr>
          <w:p>
            <w:r>
              <w:rPr>
                <w:b/>
                <w:sz w:val="20"/>
              </w:rPr>
              <w:t>Reviewed by</w:t>
            </w:r>
          </w:p>
        </w:tc>
        <w:tc>
          <w:tcPr>
            <w:tcW w:type="dxa" w:w="2409"/>
            <w:shd w:val="clear" w:color="auto" w:fill="FFF7D6"/>
          </w:tcPr>
          <w:p>
            <w:r>
              <w:rPr>
                <w:sz w:val="20"/>
              </w:rPr>
              <w:t>[ ]</w:t>
            </w:r>
          </w:p>
        </w:tc>
        <w:tc>
          <w:tcPr>
            <w:tcW w:type="dxa" w:w="2409"/>
            <w:shd w:val="clear" w:color="auto" w:fill="E8F0FE"/>
          </w:tcPr>
          <w:p>
            <w:r>
              <w:rPr>
                <w:b/>
                <w:sz w:val="20"/>
              </w:rPr>
              <w:t>Lawyer consulted</w:t>
            </w:r>
          </w:p>
        </w:tc>
        <w:tc>
          <w:tcPr>
            <w:tcW w:type="dxa" w:w="2409"/>
            <w:shd w:val="clear" w:color="auto" w:fill="FFF7D6"/>
          </w:tcPr>
          <w:p>
            <w:r>
              <w:rPr>
                <w:sz w:val="20"/>
              </w:rPr>
              <w:t>[Yes / No]</w:t>
            </w:r>
          </w:p>
        </w:tc>
      </w:tr>
    </w:tbl>
    <w:p>
      <w:pPr>
        <w:spacing w:after="40"/>
      </w:pPr>
    </w:p>
    <w:p>
      <w:pPr>
        <w:spacing w:after="80"/>
      </w:pPr>
      <w:r>
        <w:rPr>
          <w:b/>
          <w:i w:val="0"/>
          <w:color w:val="2563EB"/>
          <w:sz w:val="24"/>
        </w:rPr>
        <w:t>1. Parties and authority</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Full legal names match ID documents, company records or the trade licence (no nicknames or brand names alone).</w:t>
            </w:r>
          </w:p>
        </w:tc>
        <w:tc>
          <w:tcPr>
            <w:tcW w:type="dxa" w:w="3402"/>
          </w:tcPr>
          <w:p>
            <w:r>
              <w:rPr>
                <w:sz w:val="20"/>
              </w:rPr>
            </w:r>
          </w:p>
        </w:tc>
      </w:tr>
      <w:tr>
        <w:tc>
          <w:tcPr>
            <w:tcW w:type="dxa" w:w="567"/>
          </w:tcPr>
          <w:p>
            <w:r>
              <w:rPr>
                <w:sz w:val="20"/>
              </w:rPr>
              <w:t>☐</w:t>
            </w:r>
          </w:p>
        </w:tc>
        <w:tc>
          <w:tcPr>
            <w:tcW w:type="dxa" w:w="5669"/>
          </w:tcPr>
          <w:p>
            <w:r>
              <w:rPr>
                <w:sz w:val="20"/>
              </w:rPr>
              <w:t>Addresses are complete, with PIN or postcode, and an email for notices is given for each party.</w:t>
            </w:r>
          </w:p>
        </w:tc>
        <w:tc>
          <w:tcPr>
            <w:tcW w:type="dxa" w:w="3402"/>
          </w:tcPr>
          <w:p>
            <w:r>
              <w:rPr>
                <w:sz w:val="20"/>
              </w:rPr>
            </w:r>
          </w:p>
        </w:tc>
      </w:tr>
      <w:tr>
        <w:tc>
          <w:tcPr>
            <w:tcW w:type="dxa" w:w="567"/>
          </w:tcPr>
          <w:p>
            <w:r>
              <w:rPr>
                <w:sz w:val="20"/>
              </w:rPr>
              <w:t>☐</w:t>
            </w:r>
          </w:p>
        </w:tc>
        <w:tc>
          <w:tcPr>
            <w:tcW w:type="dxa" w:w="5669"/>
          </w:tcPr>
          <w:p>
            <w:r>
              <w:rPr>
                <w:sz w:val="20"/>
              </w:rPr>
              <w:t>For a company, LLP or firm: the person signing has authority (board resolution, partner consent or power of attorney seen).</w:t>
            </w:r>
          </w:p>
        </w:tc>
        <w:tc>
          <w:tcPr>
            <w:tcW w:type="dxa" w:w="3402"/>
          </w:tcPr>
          <w:p>
            <w:r>
              <w:rPr>
                <w:sz w:val="20"/>
              </w:rPr>
            </w:r>
          </w:p>
        </w:tc>
      </w:tr>
      <w:tr>
        <w:tc>
          <w:tcPr>
            <w:tcW w:type="dxa" w:w="567"/>
          </w:tcPr>
          <w:p>
            <w:r>
              <w:rPr>
                <w:sz w:val="20"/>
              </w:rPr>
              <w:t>☐</w:t>
            </w:r>
          </w:p>
        </w:tc>
        <w:tc>
          <w:tcPr>
            <w:tcW w:type="dxa" w:w="5669"/>
          </w:tcPr>
          <w:p>
            <w:r>
              <w:rPr>
                <w:sz w:val="20"/>
              </w:rPr>
              <w:t>Each party is legally able to contract (adult, of sound mind, not barred by law).</w:t>
            </w:r>
          </w:p>
        </w:tc>
        <w:tc>
          <w:tcPr>
            <w:tcW w:type="dxa" w:w="3402"/>
          </w:tcPr>
          <w:p>
            <w:r>
              <w:rPr>
                <w:sz w:val="20"/>
              </w:rPr>
            </w:r>
          </w:p>
        </w:tc>
      </w:tr>
    </w:tbl>
    <w:p>
      <w:pPr>
        <w:spacing w:after="40"/>
      </w:pPr>
    </w:p>
    <w:p>
      <w:pPr>
        <w:spacing w:after="80"/>
      </w:pPr>
      <w:r>
        <w:rPr>
          <w:b/>
          <w:i w:val="0"/>
          <w:color w:val="2563EB"/>
          <w:sz w:val="24"/>
        </w:rPr>
        <w:t>2. What is being exchanged</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The goods, services, property or rights are described so a stranger could tell exactly what is included and what is not.</w:t>
            </w:r>
          </w:p>
        </w:tc>
        <w:tc>
          <w:tcPr>
            <w:tcW w:type="dxa" w:w="3402"/>
          </w:tcPr>
          <w:p>
            <w:r>
              <w:rPr>
                <w:sz w:val="20"/>
              </w:rPr>
            </w:r>
          </w:p>
        </w:tc>
      </w:tr>
      <w:tr>
        <w:tc>
          <w:tcPr>
            <w:tcW w:type="dxa" w:w="567"/>
          </w:tcPr>
          <w:p>
            <w:r>
              <w:rPr>
                <w:sz w:val="20"/>
              </w:rPr>
              <w:t>☐</w:t>
            </w:r>
          </w:p>
        </w:tc>
        <w:tc>
          <w:tcPr>
            <w:tcW w:type="dxa" w:w="5669"/>
          </w:tcPr>
          <w:p>
            <w:r>
              <w:rPr>
                <w:sz w:val="20"/>
              </w:rPr>
              <w:t>Quantities, specifications, standards and service levels are measurable (numbers, dates, named standards).</w:t>
            </w:r>
          </w:p>
        </w:tc>
        <w:tc>
          <w:tcPr>
            <w:tcW w:type="dxa" w:w="3402"/>
          </w:tcPr>
          <w:p>
            <w:r>
              <w:rPr>
                <w:sz w:val="20"/>
              </w:rPr>
            </w:r>
          </w:p>
        </w:tc>
      </w:tr>
      <w:tr>
        <w:tc>
          <w:tcPr>
            <w:tcW w:type="dxa" w:w="567"/>
          </w:tcPr>
          <w:p>
            <w:r>
              <w:rPr>
                <w:sz w:val="20"/>
              </w:rPr>
              <w:t>☐</w:t>
            </w:r>
          </w:p>
        </w:tc>
        <w:tc>
          <w:tcPr>
            <w:tcW w:type="dxa" w:w="5669"/>
          </w:tcPr>
          <w:p>
            <w:r>
              <w:rPr>
                <w:sz w:val="20"/>
              </w:rPr>
              <w:t>Schedules, drawings, price lists or annexures referred to are actually attached and signed.</w:t>
            </w:r>
          </w:p>
        </w:tc>
        <w:tc>
          <w:tcPr>
            <w:tcW w:type="dxa" w:w="3402"/>
          </w:tcPr>
          <w:p>
            <w:r>
              <w:rPr>
                <w:sz w:val="20"/>
              </w:rPr>
            </w:r>
          </w:p>
        </w:tc>
      </w:tr>
    </w:tbl>
    <w:p>
      <w:pPr>
        <w:spacing w:after="40"/>
      </w:pPr>
    </w:p>
    <w:p>
      <w:pPr>
        <w:spacing w:after="80"/>
      </w:pPr>
      <w:r>
        <w:rPr>
          <w:b/>
          <w:i w:val="0"/>
          <w:color w:val="2563EB"/>
          <w:sz w:val="24"/>
        </w:rPr>
        <w:t>3. Money and payment</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Price or fee is stated in figures and words, and both match.</w:t>
            </w:r>
          </w:p>
        </w:tc>
        <w:tc>
          <w:tcPr>
            <w:tcW w:type="dxa" w:w="3402"/>
          </w:tcPr>
          <w:p>
            <w:r>
              <w:rPr>
                <w:sz w:val="20"/>
              </w:rPr>
            </w:r>
          </w:p>
        </w:tc>
      </w:tr>
      <w:tr>
        <w:tc>
          <w:tcPr>
            <w:tcW w:type="dxa" w:w="567"/>
          </w:tcPr>
          <w:p>
            <w:r>
              <w:rPr>
                <w:sz w:val="20"/>
              </w:rPr>
              <w:t>☐</w:t>
            </w:r>
          </w:p>
        </w:tc>
        <w:tc>
          <w:tcPr>
            <w:tcW w:type="dxa" w:w="5669"/>
          </w:tcPr>
          <w:p>
            <w:r>
              <w:rPr>
                <w:sz w:val="20"/>
              </w:rPr>
              <w:t>It says whether tax (GST, VAT, sales tax) is included or extra.</w:t>
            </w:r>
          </w:p>
        </w:tc>
        <w:tc>
          <w:tcPr>
            <w:tcW w:type="dxa" w:w="3402"/>
          </w:tcPr>
          <w:p>
            <w:r>
              <w:rPr>
                <w:sz w:val="20"/>
              </w:rPr>
            </w:r>
          </w:p>
        </w:tc>
      </w:tr>
      <w:tr>
        <w:tc>
          <w:tcPr>
            <w:tcW w:type="dxa" w:w="567"/>
          </w:tcPr>
          <w:p>
            <w:r>
              <w:rPr>
                <w:sz w:val="20"/>
              </w:rPr>
              <w:t>☐</w:t>
            </w:r>
          </w:p>
        </w:tc>
        <w:tc>
          <w:tcPr>
            <w:tcW w:type="dxa" w:w="5669"/>
          </w:tcPr>
          <w:p>
            <w:r>
              <w:rPr>
                <w:sz w:val="20"/>
              </w:rPr>
              <w:t>Payment dates, method and bank details are stated; advances and deposits say when and how they are refunded.</w:t>
            </w:r>
          </w:p>
        </w:tc>
        <w:tc>
          <w:tcPr>
            <w:tcW w:type="dxa" w:w="3402"/>
          </w:tcPr>
          <w:p>
            <w:r>
              <w:rPr>
                <w:sz w:val="20"/>
              </w:rPr>
            </w:r>
          </w:p>
        </w:tc>
      </w:tr>
      <w:tr>
        <w:tc>
          <w:tcPr>
            <w:tcW w:type="dxa" w:w="567"/>
          </w:tcPr>
          <w:p>
            <w:r>
              <w:rPr>
                <w:sz w:val="20"/>
              </w:rPr>
              <w:t>☐</w:t>
            </w:r>
          </w:p>
        </w:tc>
        <w:tc>
          <w:tcPr>
            <w:tcW w:type="dxa" w:w="5669"/>
          </w:tcPr>
          <w:p>
            <w:r>
              <w:rPr>
                <w:sz w:val="20"/>
              </w:rPr>
              <w:t>Late payment interest, if any, is reasonable and stated as a rate, not a vague "penalty".</w:t>
            </w:r>
          </w:p>
        </w:tc>
        <w:tc>
          <w:tcPr>
            <w:tcW w:type="dxa" w:w="3402"/>
          </w:tcPr>
          <w:p>
            <w:r>
              <w:rPr>
                <w:sz w:val="20"/>
              </w:rPr>
            </w:r>
          </w:p>
        </w:tc>
      </w:tr>
      <w:tr>
        <w:tc>
          <w:tcPr>
            <w:tcW w:type="dxa" w:w="567"/>
          </w:tcPr>
          <w:p>
            <w:r>
              <w:rPr>
                <w:sz w:val="20"/>
              </w:rPr>
              <w:t>☐</w:t>
            </w:r>
          </w:p>
        </w:tc>
        <w:tc>
          <w:tcPr>
            <w:tcW w:type="dxa" w:w="5669"/>
          </w:tcPr>
          <w:p>
            <w:r>
              <w:rPr>
                <w:sz w:val="20"/>
              </w:rPr>
              <w:t>Who pays expenses, stamp duty, registration and other costs is clear.</w:t>
            </w:r>
          </w:p>
        </w:tc>
        <w:tc>
          <w:tcPr>
            <w:tcW w:type="dxa" w:w="3402"/>
          </w:tcPr>
          <w:p>
            <w:r>
              <w:rPr>
                <w:sz w:val="20"/>
              </w:rPr>
            </w:r>
          </w:p>
        </w:tc>
      </w:tr>
    </w:tbl>
    <w:p>
      <w:pPr>
        <w:spacing w:after="40"/>
      </w:pPr>
    </w:p>
    <w:p>
      <w:pPr>
        <w:spacing w:after="80"/>
      </w:pPr>
      <w:r>
        <w:rPr>
          <w:b/>
          <w:i w:val="0"/>
          <w:color w:val="2563EB"/>
          <w:sz w:val="24"/>
        </w:rPr>
        <w:t>4. Dates and term</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Start date, end date or term, and any renewal (automatic or by agreement) are clear.</w:t>
            </w:r>
          </w:p>
        </w:tc>
        <w:tc>
          <w:tcPr>
            <w:tcW w:type="dxa" w:w="3402"/>
          </w:tcPr>
          <w:p>
            <w:r>
              <w:rPr>
                <w:sz w:val="20"/>
              </w:rPr>
            </w:r>
          </w:p>
        </w:tc>
      </w:tr>
      <w:tr>
        <w:tc>
          <w:tcPr>
            <w:tcW w:type="dxa" w:w="567"/>
          </w:tcPr>
          <w:p>
            <w:r>
              <w:rPr>
                <w:sz w:val="20"/>
              </w:rPr>
              <w:t>☐</w:t>
            </w:r>
          </w:p>
        </w:tc>
        <w:tc>
          <w:tcPr>
            <w:tcW w:type="dxa" w:w="5669"/>
          </w:tcPr>
          <w:p>
            <w:r>
              <w:rPr>
                <w:sz w:val="20"/>
              </w:rPr>
              <w:t>Deadlines for delivery or completion are stated, with what happens if they are missed.</w:t>
            </w:r>
          </w:p>
        </w:tc>
        <w:tc>
          <w:tcPr>
            <w:tcW w:type="dxa" w:w="3402"/>
          </w:tcPr>
          <w:p>
            <w:r>
              <w:rPr>
                <w:sz w:val="20"/>
              </w:rPr>
            </w:r>
          </w:p>
        </w:tc>
      </w:tr>
      <w:tr>
        <w:tc>
          <w:tcPr>
            <w:tcW w:type="dxa" w:w="567"/>
          </w:tcPr>
          <w:p>
            <w:r>
              <w:rPr>
                <w:sz w:val="20"/>
              </w:rPr>
              <w:t>☐</w:t>
            </w:r>
          </w:p>
        </w:tc>
        <w:tc>
          <w:tcPr>
            <w:tcW w:type="dxa" w:w="5669"/>
          </w:tcPr>
          <w:p>
            <w:r>
              <w:rPr>
                <w:sz w:val="20"/>
              </w:rPr>
              <w:t>Lock-in periods and notice periods work both ways, or the difference is intended.</w:t>
            </w:r>
          </w:p>
        </w:tc>
        <w:tc>
          <w:tcPr>
            <w:tcW w:type="dxa" w:w="3402"/>
          </w:tcPr>
          <w:p>
            <w:r>
              <w:rPr>
                <w:sz w:val="20"/>
              </w:rPr>
            </w:r>
          </w:p>
        </w:tc>
      </w:tr>
    </w:tbl>
    <w:p>
      <w:pPr>
        <w:spacing w:after="40"/>
      </w:pPr>
    </w:p>
    <w:p>
      <w:pPr>
        <w:spacing w:after="80"/>
      </w:pPr>
      <w:r>
        <w:rPr>
          <w:b/>
          <w:i w:val="0"/>
          <w:color w:val="2563EB"/>
          <w:sz w:val="24"/>
        </w:rPr>
        <w:t>5. Performance and quality</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How work is checked, accepted or rejected is described (inspection period, acceptance tests, revisions).</w:t>
            </w:r>
          </w:p>
        </w:tc>
        <w:tc>
          <w:tcPr>
            <w:tcW w:type="dxa" w:w="3402"/>
          </w:tcPr>
          <w:p>
            <w:r>
              <w:rPr>
                <w:sz w:val="20"/>
              </w:rPr>
            </w:r>
          </w:p>
        </w:tc>
      </w:tr>
      <w:tr>
        <w:tc>
          <w:tcPr>
            <w:tcW w:type="dxa" w:w="567"/>
          </w:tcPr>
          <w:p>
            <w:r>
              <w:rPr>
                <w:sz w:val="20"/>
              </w:rPr>
              <w:t>☐</w:t>
            </w:r>
          </w:p>
        </w:tc>
        <w:tc>
          <w:tcPr>
            <w:tcW w:type="dxa" w:w="5669"/>
          </w:tcPr>
          <w:p>
            <w:r>
              <w:rPr>
                <w:sz w:val="20"/>
              </w:rPr>
              <w:t>Warranties or guarantees say what is covered, for how long and the remedy (repair, replace, refund).</w:t>
            </w:r>
          </w:p>
        </w:tc>
        <w:tc>
          <w:tcPr>
            <w:tcW w:type="dxa" w:w="3402"/>
          </w:tcPr>
          <w:p>
            <w:r>
              <w:rPr>
                <w:sz w:val="20"/>
              </w:rPr>
            </w:r>
          </w:p>
        </w:tc>
      </w:tr>
      <w:tr>
        <w:tc>
          <w:tcPr>
            <w:tcW w:type="dxa" w:w="567"/>
          </w:tcPr>
          <w:p>
            <w:r>
              <w:rPr>
                <w:sz w:val="20"/>
              </w:rPr>
              <w:t>☐</w:t>
            </w:r>
          </w:p>
        </w:tc>
        <w:tc>
          <w:tcPr>
            <w:tcW w:type="dxa" w:w="5669"/>
          </w:tcPr>
          <w:p>
            <w:r>
              <w:rPr>
                <w:sz w:val="20"/>
              </w:rPr>
              <w:t>Changes to scope need a written change order with price and time agreed.</w:t>
            </w:r>
          </w:p>
        </w:tc>
        <w:tc>
          <w:tcPr>
            <w:tcW w:type="dxa" w:w="3402"/>
          </w:tcPr>
          <w:p>
            <w:r>
              <w:rPr>
                <w:sz w:val="20"/>
              </w:rPr>
            </w:r>
          </w:p>
        </w:tc>
      </w:tr>
    </w:tbl>
    <w:p>
      <w:pPr>
        <w:spacing w:after="40"/>
      </w:pPr>
    </w:p>
    <w:p>
      <w:pPr>
        <w:spacing w:after="80"/>
      </w:pPr>
      <w:r>
        <w:rPr>
          <w:b/>
          <w:i w:val="0"/>
          <w:color w:val="2563EB"/>
          <w:sz w:val="24"/>
        </w:rPr>
        <w:t>6. Ending the agreement</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Either side can end for serious breach after a reasonable notice to fix it.</w:t>
            </w:r>
          </w:p>
        </w:tc>
        <w:tc>
          <w:tcPr>
            <w:tcW w:type="dxa" w:w="3402"/>
          </w:tcPr>
          <w:p>
            <w:r>
              <w:rPr>
                <w:sz w:val="20"/>
              </w:rPr>
            </w:r>
          </w:p>
        </w:tc>
      </w:tr>
      <w:tr>
        <w:tc>
          <w:tcPr>
            <w:tcW w:type="dxa" w:w="567"/>
          </w:tcPr>
          <w:p>
            <w:r>
              <w:rPr>
                <w:sz w:val="20"/>
              </w:rPr>
              <w:t>☐</w:t>
            </w:r>
          </w:p>
        </w:tc>
        <w:tc>
          <w:tcPr>
            <w:tcW w:type="dxa" w:w="5669"/>
          </w:tcPr>
          <w:p>
            <w:r>
              <w:rPr>
                <w:sz w:val="20"/>
              </w:rPr>
              <w:t>Ending for convenience (without a reason) is allowed or excluded on purpose, with the notice period.</w:t>
            </w:r>
          </w:p>
        </w:tc>
        <w:tc>
          <w:tcPr>
            <w:tcW w:type="dxa" w:w="3402"/>
          </w:tcPr>
          <w:p>
            <w:r>
              <w:rPr>
                <w:sz w:val="20"/>
              </w:rPr>
            </w:r>
          </w:p>
        </w:tc>
      </w:tr>
      <w:tr>
        <w:tc>
          <w:tcPr>
            <w:tcW w:type="dxa" w:w="567"/>
          </w:tcPr>
          <w:p>
            <w:r>
              <w:rPr>
                <w:sz w:val="20"/>
              </w:rPr>
              <w:t>☐</w:t>
            </w:r>
          </w:p>
        </w:tc>
        <w:tc>
          <w:tcPr>
            <w:tcW w:type="dxa" w:w="5669"/>
          </w:tcPr>
          <w:p>
            <w:r>
              <w:rPr>
                <w:sz w:val="20"/>
              </w:rPr>
              <w:t>What happens at the end is clear: final payment, handover, return of property and data, refund of deposits.</w:t>
            </w:r>
          </w:p>
        </w:tc>
        <w:tc>
          <w:tcPr>
            <w:tcW w:type="dxa" w:w="3402"/>
          </w:tcPr>
          <w:p>
            <w:r>
              <w:rPr>
                <w:sz w:val="20"/>
              </w:rPr>
            </w:r>
          </w:p>
        </w:tc>
      </w:tr>
    </w:tbl>
    <w:p>
      <w:pPr>
        <w:spacing w:after="40"/>
      </w:pPr>
    </w:p>
    <w:p>
      <w:pPr>
        <w:spacing w:after="80"/>
      </w:pPr>
      <w:r>
        <w:rPr>
          <w:b/>
          <w:i w:val="0"/>
          <w:color w:val="2563EB"/>
          <w:sz w:val="24"/>
        </w:rPr>
        <w:t>7. Risk clauses</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Indemnities: who covers which losses, and whether they are capped. One-sided indemnities are understood.</w:t>
            </w:r>
          </w:p>
        </w:tc>
        <w:tc>
          <w:tcPr>
            <w:tcW w:type="dxa" w:w="3402"/>
          </w:tcPr>
          <w:p>
            <w:r>
              <w:rPr>
                <w:sz w:val="20"/>
              </w:rPr>
            </w:r>
          </w:p>
        </w:tc>
      </w:tr>
      <w:tr>
        <w:tc>
          <w:tcPr>
            <w:tcW w:type="dxa" w:w="567"/>
          </w:tcPr>
          <w:p>
            <w:r>
              <w:rPr>
                <w:sz w:val="20"/>
              </w:rPr>
              <w:t>☐</w:t>
            </w:r>
          </w:p>
        </w:tc>
        <w:tc>
          <w:tcPr>
            <w:tcW w:type="dxa" w:w="5669"/>
          </w:tcPr>
          <w:p>
            <w:r>
              <w:rPr>
                <w:sz w:val="20"/>
              </w:rPr>
              <w:t>Limitation of liability: the cap amount is acceptable and excludes only what the law allows.</w:t>
            </w:r>
          </w:p>
        </w:tc>
        <w:tc>
          <w:tcPr>
            <w:tcW w:type="dxa" w:w="3402"/>
          </w:tcPr>
          <w:p>
            <w:r>
              <w:rPr>
                <w:sz w:val="20"/>
              </w:rPr>
            </w:r>
          </w:p>
        </w:tc>
      </w:tr>
      <w:tr>
        <w:tc>
          <w:tcPr>
            <w:tcW w:type="dxa" w:w="567"/>
          </w:tcPr>
          <w:p>
            <w:r>
              <w:rPr>
                <w:sz w:val="20"/>
              </w:rPr>
              <w:t>☐</w:t>
            </w:r>
          </w:p>
        </w:tc>
        <w:tc>
          <w:tcPr>
            <w:tcW w:type="dxa" w:w="5669"/>
          </w:tcPr>
          <w:p>
            <w:r>
              <w:rPr>
                <w:sz w:val="20"/>
              </w:rPr>
              <w:t>Insurance required of either party is affordable and actually in place.</w:t>
            </w:r>
          </w:p>
        </w:tc>
        <w:tc>
          <w:tcPr>
            <w:tcW w:type="dxa" w:w="3402"/>
          </w:tcPr>
          <w:p>
            <w:r>
              <w:rPr>
                <w:sz w:val="20"/>
              </w:rPr>
            </w:r>
          </w:p>
        </w:tc>
      </w:tr>
      <w:tr>
        <w:tc>
          <w:tcPr>
            <w:tcW w:type="dxa" w:w="567"/>
          </w:tcPr>
          <w:p>
            <w:r>
              <w:rPr>
                <w:sz w:val="20"/>
              </w:rPr>
              <w:t>☐</w:t>
            </w:r>
          </w:p>
        </w:tc>
        <w:tc>
          <w:tcPr>
            <w:tcW w:type="dxa" w:w="5669"/>
          </w:tcPr>
          <w:p>
            <w:r>
              <w:rPr>
                <w:sz w:val="20"/>
              </w:rPr>
              <w:t>Personal guarantees, security or post-dated cheques are understood by the person giving them.</w:t>
            </w:r>
          </w:p>
        </w:tc>
        <w:tc>
          <w:tcPr>
            <w:tcW w:type="dxa" w:w="3402"/>
          </w:tcPr>
          <w:p>
            <w:r>
              <w:rPr>
                <w:sz w:val="20"/>
              </w:rPr>
            </w:r>
          </w:p>
        </w:tc>
      </w:tr>
    </w:tbl>
    <w:p>
      <w:pPr>
        <w:spacing w:after="40"/>
      </w:pPr>
    </w:p>
    <w:p>
      <w:pPr>
        <w:spacing w:after="80"/>
      </w:pPr>
      <w:r>
        <w:rPr>
          <w:b/>
          <w:i w:val="0"/>
          <w:color w:val="2563EB"/>
          <w:sz w:val="24"/>
        </w:rPr>
        <w:t>8. Confidentiality, IP and data</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Confidential information is defined and the duty lasts a sensible time.</w:t>
            </w:r>
          </w:p>
        </w:tc>
        <w:tc>
          <w:tcPr>
            <w:tcW w:type="dxa" w:w="3402"/>
          </w:tcPr>
          <w:p>
            <w:r>
              <w:rPr>
                <w:sz w:val="20"/>
              </w:rPr>
            </w:r>
          </w:p>
        </w:tc>
      </w:tr>
      <w:tr>
        <w:tc>
          <w:tcPr>
            <w:tcW w:type="dxa" w:w="567"/>
          </w:tcPr>
          <w:p>
            <w:r>
              <w:rPr>
                <w:sz w:val="20"/>
              </w:rPr>
              <w:t>☐</w:t>
            </w:r>
          </w:p>
        </w:tc>
        <w:tc>
          <w:tcPr>
            <w:tcW w:type="dxa" w:w="5669"/>
          </w:tcPr>
          <w:p>
            <w:r>
              <w:rPr>
                <w:sz w:val="20"/>
              </w:rPr>
              <w:t>Who owns work, designs, code or content created under the agreement is stated, and when ownership passes.</w:t>
            </w:r>
          </w:p>
        </w:tc>
        <w:tc>
          <w:tcPr>
            <w:tcW w:type="dxa" w:w="3402"/>
          </w:tcPr>
          <w:p>
            <w:r>
              <w:rPr>
                <w:sz w:val="20"/>
              </w:rPr>
            </w:r>
          </w:p>
        </w:tc>
      </w:tr>
      <w:tr>
        <w:tc>
          <w:tcPr>
            <w:tcW w:type="dxa" w:w="567"/>
          </w:tcPr>
          <w:p>
            <w:r>
              <w:rPr>
                <w:sz w:val="20"/>
              </w:rPr>
              <w:t>☐</w:t>
            </w:r>
          </w:p>
        </w:tc>
        <w:tc>
          <w:tcPr>
            <w:tcW w:type="dxa" w:w="5669"/>
          </w:tcPr>
          <w:p>
            <w:r>
              <w:rPr>
                <w:sz w:val="20"/>
              </w:rPr>
              <w:t>Use of names, logos and trade marks is limited to what is agreed.</w:t>
            </w:r>
          </w:p>
        </w:tc>
        <w:tc>
          <w:tcPr>
            <w:tcW w:type="dxa" w:w="3402"/>
          </w:tcPr>
          <w:p>
            <w:r>
              <w:rPr>
                <w:sz w:val="20"/>
              </w:rPr>
            </w:r>
          </w:p>
        </w:tc>
      </w:tr>
      <w:tr>
        <w:tc>
          <w:tcPr>
            <w:tcW w:type="dxa" w:w="567"/>
          </w:tcPr>
          <w:p>
            <w:r>
              <w:rPr>
                <w:sz w:val="20"/>
              </w:rPr>
              <w:t>☐</w:t>
            </w:r>
          </w:p>
        </w:tc>
        <w:tc>
          <w:tcPr>
            <w:tcW w:type="dxa" w:w="5669"/>
          </w:tcPr>
          <w:p>
            <w:r>
              <w:rPr>
                <w:sz w:val="20"/>
              </w:rPr>
              <w:t>Personal data is handled under the data protection law that applies.</w:t>
            </w:r>
          </w:p>
        </w:tc>
        <w:tc>
          <w:tcPr>
            <w:tcW w:type="dxa" w:w="3402"/>
          </w:tcPr>
          <w:p>
            <w:r>
              <w:rPr>
                <w:sz w:val="20"/>
              </w:rPr>
            </w:r>
          </w:p>
        </w:tc>
      </w:tr>
    </w:tbl>
    <w:p>
      <w:pPr>
        <w:spacing w:after="40"/>
      </w:pPr>
    </w:p>
    <w:p>
      <w:pPr>
        <w:spacing w:after="80"/>
      </w:pPr>
      <w:r>
        <w:rPr>
          <w:b/>
          <w:i w:val="0"/>
          <w:color w:val="2563EB"/>
          <w:sz w:val="24"/>
        </w:rPr>
        <w:t>9. Disputes and law</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Governing law and the courts or arbitration seat are stated and practical for you to reach.</w:t>
            </w:r>
          </w:p>
        </w:tc>
        <w:tc>
          <w:tcPr>
            <w:tcW w:type="dxa" w:w="3402"/>
          </w:tcPr>
          <w:p>
            <w:r>
              <w:rPr>
                <w:sz w:val="20"/>
              </w:rPr>
            </w:r>
          </w:p>
        </w:tc>
      </w:tr>
      <w:tr>
        <w:tc>
          <w:tcPr>
            <w:tcW w:type="dxa" w:w="567"/>
          </w:tcPr>
          <w:p>
            <w:r>
              <w:rPr>
                <w:sz w:val="20"/>
              </w:rPr>
              <w:t>☐</w:t>
            </w:r>
          </w:p>
        </w:tc>
        <w:tc>
          <w:tcPr>
            <w:tcW w:type="dxa" w:w="5669"/>
          </w:tcPr>
          <w:p>
            <w:r>
              <w:rPr>
                <w:sz w:val="20"/>
              </w:rPr>
              <w:t>There is a step to talk or mediate before going to court or arbitration.</w:t>
            </w:r>
          </w:p>
        </w:tc>
        <w:tc>
          <w:tcPr>
            <w:tcW w:type="dxa" w:w="3402"/>
          </w:tcPr>
          <w:p>
            <w:r>
              <w:rPr>
                <w:sz w:val="20"/>
              </w:rPr>
            </w:r>
          </w:p>
        </w:tc>
      </w:tr>
      <w:tr>
        <w:tc>
          <w:tcPr>
            <w:tcW w:type="dxa" w:w="567"/>
          </w:tcPr>
          <w:p>
            <w:r>
              <w:rPr>
                <w:sz w:val="20"/>
              </w:rPr>
              <w:t>☐</w:t>
            </w:r>
          </w:p>
        </w:tc>
        <w:tc>
          <w:tcPr>
            <w:tcW w:type="dxa" w:w="5669"/>
          </w:tcPr>
          <w:p>
            <w:r>
              <w:rPr>
                <w:sz w:val="20"/>
              </w:rPr>
              <w:t>Non-compete and non-solicitation clauses are no wider than the law allows where you are.</w:t>
            </w:r>
          </w:p>
        </w:tc>
        <w:tc>
          <w:tcPr>
            <w:tcW w:type="dxa" w:w="3402"/>
          </w:tcPr>
          <w:p>
            <w:r>
              <w:rPr>
                <w:sz w:val="20"/>
              </w:rPr>
            </w:r>
          </w:p>
        </w:tc>
      </w:tr>
    </w:tbl>
    <w:p>
      <w:pPr>
        <w:spacing w:after="40"/>
      </w:pPr>
    </w:p>
    <w:p>
      <w:pPr>
        <w:spacing w:after="80"/>
      </w:pPr>
      <w:r>
        <w:rPr>
          <w:b/>
          <w:i w:val="0"/>
          <w:color w:val="2563EB"/>
          <w:sz w:val="24"/>
        </w:rPr>
        <w:t>10. Signing and records</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5669"/>
            <w:shd w:val="clear" w:color="auto" w:fill="2563EB"/>
          </w:tcPr>
          <w:p>
            <w:r/>
            <w:r>
              <w:rPr>
                <w:b/>
                <w:color w:val="FFFFFF"/>
                <w:sz w:val="20"/>
              </w:rPr>
              <w:t>Check</w:t>
            </w:r>
          </w:p>
        </w:tc>
        <w:tc>
          <w:tcPr>
            <w:tcW w:type="dxa" w:w="3402"/>
            <w:shd w:val="clear" w:color="auto" w:fill="2563EB"/>
          </w:tcPr>
          <w:p>
            <w:r/>
            <w:r>
              <w:rPr>
                <w:b/>
                <w:color w:val="FFFFFF"/>
                <w:sz w:val="20"/>
              </w:rPr>
              <w:t>Notes (clause number, concern)</w:t>
            </w:r>
          </w:p>
        </w:tc>
      </w:tr>
      <w:tr>
        <w:tc>
          <w:tcPr>
            <w:tcW w:type="dxa" w:w="567"/>
          </w:tcPr>
          <w:p>
            <w:r>
              <w:rPr>
                <w:sz w:val="20"/>
              </w:rPr>
              <w:t>☐</w:t>
            </w:r>
          </w:p>
        </w:tc>
        <w:tc>
          <w:tcPr>
            <w:tcW w:type="dxa" w:w="5669"/>
          </w:tcPr>
          <w:p>
            <w:r>
              <w:rPr>
                <w:sz w:val="20"/>
              </w:rPr>
              <w:t>Stamp duty, registration, notarisation and witnesses checked for the country and state (see the table below).</w:t>
            </w:r>
          </w:p>
        </w:tc>
        <w:tc>
          <w:tcPr>
            <w:tcW w:type="dxa" w:w="3402"/>
          </w:tcPr>
          <w:p>
            <w:r>
              <w:rPr>
                <w:sz w:val="20"/>
              </w:rPr>
            </w:r>
          </w:p>
        </w:tc>
      </w:tr>
      <w:tr>
        <w:tc>
          <w:tcPr>
            <w:tcW w:type="dxa" w:w="567"/>
          </w:tcPr>
          <w:p>
            <w:r>
              <w:rPr>
                <w:sz w:val="20"/>
              </w:rPr>
              <w:t>☐</w:t>
            </w:r>
          </w:p>
        </w:tc>
        <w:tc>
          <w:tcPr>
            <w:tcW w:type="dxa" w:w="5669"/>
          </w:tcPr>
          <w:p>
            <w:r>
              <w:rPr>
                <w:sz w:val="20"/>
              </w:rPr>
              <w:t>Every page is initialled, blanks are filled or struck out, and changes are initialled by both sides.</w:t>
            </w:r>
          </w:p>
        </w:tc>
        <w:tc>
          <w:tcPr>
            <w:tcW w:type="dxa" w:w="3402"/>
          </w:tcPr>
          <w:p>
            <w:r>
              <w:rPr>
                <w:sz w:val="20"/>
              </w:rPr>
            </w:r>
          </w:p>
        </w:tc>
      </w:tr>
      <w:tr>
        <w:tc>
          <w:tcPr>
            <w:tcW w:type="dxa" w:w="567"/>
          </w:tcPr>
          <w:p>
            <w:r>
              <w:rPr>
                <w:sz w:val="20"/>
              </w:rPr>
              <w:t>☐</w:t>
            </w:r>
          </w:p>
        </w:tc>
        <w:tc>
          <w:tcPr>
            <w:tcW w:type="dxa" w:w="5669"/>
          </w:tcPr>
          <w:p>
            <w:r>
              <w:rPr>
                <w:sz w:val="20"/>
              </w:rPr>
              <w:t>Each party keeps a signed original (or a full scanned copy), with all schedules.</w:t>
            </w:r>
          </w:p>
        </w:tc>
        <w:tc>
          <w:tcPr>
            <w:tcW w:type="dxa" w:w="3402"/>
          </w:tcPr>
          <w:p>
            <w:r>
              <w:rPr>
                <w:sz w:val="20"/>
              </w:rPr>
            </w:r>
          </w:p>
        </w:tc>
      </w:tr>
      <w:tr>
        <w:tc>
          <w:tcPr>
            <w:tcW w:type="dxa" w:w="567"/>
          </w:tcPr>
          <w:p>
            <w:r>
              <w:rPr>
                <w:sz w:val="20"/>
              </w:rPr>
              <w:t>☐</w:t>
            </w:r>
          </w:p>
        </w:tc>
        <w:tc>
          <w:tcPr>
            <w:tcW w:type="dxa" w:w="5669"/>
          </w:tcPr>
          <w:p>
            <w:r>
              <w:rPr>
                <w:sz w:val="20"/>
              </w:rPr>
              <w:t>Key dates (renewal, notice deadlines, payment dates) are put in a calendar with reminders.</w:t>
            </w:r>
          </w:p>
        </w:tc>
        <w:tc>
          <w:tcPr>
            <w:tcW w:type="dxa" w:w="3402"/>
          </w:tcPr>
          <w:p>
            <w:r>
              <w:rPr>
                <w:sz w:val="20"/>
              </w:rPr>
            </w:r>
          </w:p>
        </w:tc>
      </w:tr>
    </w:tbl>
    <w:p>
      <w:pPr>
        <w:spacing w:after="40"/>
      </w:pPr>
    </w:p>
    <w:p>
      <w:pPr>
        <w:spacing w:after="80"/>
      </w:pPr>
      <w:r>
        <w:rPr>
          <w:b/>
          <w:i w:val="0"/>
          <w:color w:val="2563EB"/>
          <w:sz w:val="24"/>
        </w:rPr>
        <w:t>Red flags: what to ask for instead</w:t>
      </w:r>
    </w:p>
    <w:tbl>
      <w:tblPr>
        <w:tblStyle w:val="TableGrid"/>
        <w:tblW w:type="auto" w:w="0"/>
        <w:tblLook w:firstColumn="1" w:firstRow="1" w:lastColumn="0" w:lastRow="0" w:noHBand="0" w:noVBand="1" w:val="04A0"/>
      </w:tblPr>
      <w:tblGrid>
        <w:gridCol w:w="3213"/>
        <w:gridCol w:w="3213"/>
        <w:gridCol w:w="3213"/>
      </w:tblGrid>
      <w:tr>
        <w:tc>
          <w:tcPr>
            <w:tcW w:type="dxa" w:w="567"/>
            <w:shd w:val="clear" w:color="auto" w:fill="2563EB"/>
          </w:tcPr>
          <w:p>
            <w:r/>
            <w:r>
              <w:rPr>
                <w:b/>
                <w:color w:val="FFFFFF"/>
                <w:sz w:val="20"/>
              </w:rPr>
              <w:t>☐</w:t>
            </w:r>
          </w:p>
        </w:tc>
        <w:tc>
          <w:tcPr>
            <w:tcW w:type="dxa" w:w="4535"/>
            <w:shd w:val="clear" w:color="auto" w:fill="2563EB"/>
          </w:tcPr>
          <w:p>
            <w:r/>
            <w:r>
              <w:rPr>
                <w:b/>
                <w:color w:val="FFFFFF"/>
                <w:sz w:val="20"/>
              </w:rPr>
              <w:t>Red flag</w:t>
            </w:r>
          </w:p>
        </w:tc>
        <w:tc>
          <w:tcPr>
            <w:tcW w:type="dxa" w:w="4535"/>
            <w:shd w:val="clear" w:color="auto" w:fill="2563EB"/>
          </w:tcPr>
          <w:p>
            <w:r/>
            <w:r>
              <w:rPr>
                <w:b/>
                <w:color w:val="FFFFFF"/>
                <w:sz w:val="20"/>
              </w:rPr>
              <w:t>Ask for instead</w:t>
            </w:r>
          </w:p>
        </w:tc>
      </w:tr>
      <w:tr>
        <w:tc>
          <w:tcPr>
            <w:tcW w:type="dxa" w:w="567"/>
          </w:tcPr>
          <w:p>
            <w:r>
              <w:rPr>
                <w:sz w:val="20"/>
              </w:rPr>
              <w:t>☐</w:t>
            </w:r>
          </w:p>
        </w:tc>
        <w:tc>
          <w:tcPr>
            <w:tcW w:type="dxa" w:w="4535"/>
          </w:tcPr>
          <w:p>
            <w:r>
              <w:rPr>
                <w:sz w:val="20"/>
              </w:rPr>
              <w:t>Blank spaces or "to be decided later" for price, dates or scope</w:t>
            </w:r>
          </w:p>
        </w:tc>
        <w:tc>
          <w:tcPr>
            <w:tcW w:type="dxa" w:w="4535"/>
          </w:tcPr>
          <w:p>
            <w:r>
              <w:rPr>
                <w:sz w:val="20"/>
              </w:rPr>
              <w:t>Fill every blank before signing, or strike it out and initial.</w:t>
            </w:r>
          </w:p>
        </w:tc>
      </w:tr>
      <w:tr>
        <w:tc>
          <w:tcPr>
            <w:tcW w:type="dxa" w:w="567"/>
          </w:tcPr>
          <w:p>
            <w:r>
              <w:rPr>
                <w:sz w:val="20"/>
              </w:rPr>
              <w:t>☐</w:t>
            </w:r>
          </w:p>
        </w:tc>
        <w:tc>
          <w:tcPr>
            <w:tcW w:type="dxa" w:w="4535"/>
          </w:tcPr>
          <w:p>
            <w:r>
              <w:rPr>
                <w:sz w:val="20"/>
              </w:rPr>
              <w:t>"Penalty" of a large fixed amount for any breach</w:t>
            </w:r>
          </w:p>
        </w:tc>
        <w:tc>
          <w:tcPr>
            <w:tcW w:type="dxa" w:w="4535"/>
          </w:tcPr>
          <w:p>
            <w:r>
              <w:rPr>
                <w:sz w:val="20"/>
              </w:rPr>
              <w:t>A reasonable pre-estimate of loss, or actual losses proved.</w:t>
            </w:r>
          </w:p>
        </w:tc>
      </w:tr>
      <w:tr>
        <w:tc>
          <w:tcPr>
            <w:tcW w:type="dxa" w:w="567"/>
          </w:tcPr>
          <w:p>
            <w:r>
              <w:rPr>
                <w:sz w:val="20"/>
              </w:rPr>
              <w:t>☐</w:t>
            </w:r>
          </w:p>
        </w:tc>
        <w:tc>
          <w:tcPr>
            <w:tcW w:type="dxa" w:w="4535"/>
          </w:tcPr>
          <w:p>
            <w:r>
              <w:rPr>
                <w:sz w:val="20"/>
              </w:rPr>
              <w:t>Only one side can end the agreement, or notice periods differ greatly</w:t>
            </w:r>
          </w:p>
        </w:tc>
        <w:tc>
          <w:tcPr>
            <w:tcW w:type="dxa" w:w="4535"/>
          </w:tcPr>
          <w:p>
            <w:r>
              <w:rPr>
                <w:sz w:val="20"/>
              </w:rPr>
              <w:t>Equal rights to end, or a clear business reason for the difference.</w:t>
            </w:r>
          </w:p>
        </w:tc>
      </w:tr>
      <w:tr>
        <w:tc>
          <w:tcPr>
            <w:tcW w:type="dxa" w:w="567"/>
          </w:tcPr>
          <w:p>
            <w:r>
              <w:rPr>
                <w:sz w:val="20"/>
              </w:rPr>
              <w:t>☐</w:t>
            </w:r>
          </w:p>
        </w:tc>
        <w:tc>
          <w:tcPr>
            <w:tcW w:type="dxa" w:w="4535"/>
          </w:tcPr>
          <w:p>
            <w:r>
              <w:rPr>
                <w:sz w:val="20"/>
              </w:rPr>
              <w:t>Automatic renewal with a short window to cancel</w:t>
            </w:r>
          </w:p>
        </w:tc>
        <w:tc>
          <w:tcPr>
            <w:tcW w:type="dxa" w:w="4535"/>
          </w:tcPr>
          <w:p>
            <w:r>
              <w:rPr>
                <w:sz w:val="20"/>
              </w:rPr>
              <w:t>Renewal only by written agreement, or a reminder before renewal.</w:t>
            </w:r>
          </w:p>
        </w:tc>
      </w:tr>
      <w:tr>
        <w:tc>
          <w:tcPr>
            <w:tcW w:type="dxa" w:w="567"/>
          </w:tcPr>
          <w:p>
            <w:r>
              <w:rPr>
                <w:sz w:val="20"/>
              </w:rPr>
              <w:t>☐</w:t>
            </w:r>
          </w:p>
        </w:tc>
        <w:tc>
          <w:tcPr>
            <w:tcW w:type="dxa" w:w="4535"/>
          </w:tcPr>
          <w:p>
            <w:r>
              <w:rPr>
                <w:sz w:val="20"/>
              </w:rPr>
              <w:t>Unlimited indemnity from you, none from the other side</w:t>
            </w:r>
          </w:p>
        </w:tc>
        <w:tc>
          <w:tcPr>
            <w:tcW w:type="dxa" w:w="4535"/>
          </w:tcPr>
          <w:p>
            <w:r>
              <w:rPr>
                <w:sz w:val="20"/>
              </w:rPr>
              <w:t>Mutual indemnities limited to each party's own fault, with a cap.</w:t>
            </w:r>
          </w:p>
        </w:tc>
      </w:tr>
      <w:tr>
        <w:tc>
          <w:tcPr>
            <w:tcW w:type="dxa" w:w="567"/>
          </w:tcPr>
          <w:p>
            <w:r>
              <w:rPr>
                <w:sz w:val="20"/>
              </w:rPr>
              <w:t>☐</w:t>
            </w:r>
          </w:p>
        </w:tc>
        <w:tc>
          <w:tcPr>
            <w:tcW w:type="dxa" w:w="4535"/>
          </w:tcPr>
          <w:p>
            <w:r>
              <w:rPr>
                <w:sz w:val="20"/>
              </w:rPr>
              <w:t>Ownership of your existing tools or know-how passes to the client</w:t>
            </w:r>
          </w:p>
        </w:tc>
        <w:tc>
          <w:tcPr>
            <w:tcW w:type="dxa" w:w="4535"/>
          </w:tcPr>
          <w:p>
            <w:r>
              <w:rPr>
                <w:sz w:val="20"/>
              </w:rPr>
              <w:t>Only work made specially for the client passes; you keep background material.</w:t>
            </w:r>
          </w:p>
        </w:tc>
      </w:tr>
      <w:tr>
        <w:tc>
          <w:tcPr>
            <w:tcW w:type="dxa" w:w="567"/>
          </w:tcPr>
          <w:p>
            <w:r>
              <w:rPr>
                <w:sz w:val="20"/>
              </w:rPr>
              <w:t>☐</w:t>
            </w:r>
          </w:p>
        </w:tc>
        <w:tc>
          <w:tcPr>
            <w:tcW w:type="dxa" w:w="4535"/>
          </w:tcPr>
          <w:p>
            <w:r>
              <w:rPr>
                <w:sz w:val="20"/>
              </w:rPr>
              <w:t>Deposit or advance "non-refundable in all cases"</w:t>
            </w:r>
          </w:p>
        </w:tc>
        <w:tc>
          <w:tcPr>
            <w:tcW w:type="dxa" w:w="4535"/>
          </w:tcPr>
          <w:p>
            <w:r>
              <w:rPr>
                <w:sz w:val="20"/>
              </w:rPr>
              <w:t>Refundable if the other side fails, and partly refundable on early cancellation.</w:t>
            </w:r>
          </w:p>
        </w:tc>
      </w:tr>
      <w:tr>
        <w:tc>
          <w:tcPr>
            <w:tcW w:type="dxa" w:w="567"/>
          </w:tcPr>
          <w:p>
            <w:r>
              <w:rPr>
                <w:sz w:val="20"/>
              </w:rPr>
              <w:t>☐</w:t>
            </w:r>
          </w:p>
        </w:tc>
        <w:tc>
          <w:tcPr>
            <w:tcW w:type="dxa" w:w="4535"/>
          </w:tcPr>
          <w:p>
            <w:r>
              <w:rPr>
                <w:sz w:val="20"/>
              </w:rPr>
              <w:t>Non-compete that lasts years after the end, everywhere</w:t>
            </w:r>
          </w:p>
        </w:tc>
        <w:tc>
          <w:tcPr>
            <w:tcW w:type="dxa" w:w="4535"/>
          </w:tcPr>
          <w:p>
            <w:r>
              <w:rPr>
                <w:sz w:val="20"/>
              </w:rPr>
              <w:t>A narrow restriction during the term, or as the law allows.</w:t>
            </w:r>
          </w:p>
        </w:tc>
      </w:tr>
      <w:tr>
        <w:tc>
          <w:tcPr>
            <w:tcW w:type="dxa" w:w="567"/>
          </w:tcPr>
          <w:p>
            <w:r>
              <w:rPr>
                <w:sz w:val="20"/>
              </w:rPr>
              <w:t>☐</w:t>
            </w:r>
          </w:p>
        </w:tc>
        <w:tc>
          <w:tcPr>
            <w:tcW w:type="dxa" w:w="4535"/>
          </w:tcPr>
          <w:p>
            <w:r>
              <w:rPr>
                <w:sz w:val="20"/>
              </w:rPr>
              <w:t>Disputes only in a far-away court or foreign arbitration</w:t>
            </w:r>
          </w:p>
        </w:tc>
        <w:tc>
          <w:tcPr>
            <w:tcW w:type="dxa" w:w="4535"/>
          </w:tcPr>
          <w:p>
            <w:r>
              <w:rPr>
                <w:sz w:val="20"/>
              </w:rPr>
              <w:t>A seat or courts near both parties, or online hearings.</w:t>
            </w:r>
          </w:p>
        </w:tc>
      </w:tr>
      <w:tr>
        <w:tc>
          <w:tcPr>
            <w:tcW w:type="dxa" w:w="567"/>
          </w:tcPr>
          <w:p>
            <w:r>
              <w:rPr>
                <w:sz w:val="20"/>
              </w:rPr>
              <w:t>☐</w:t>
            </w:r>
          </w:p>
        </w:tc>
        <w:tc>
          <w:tcPr>
            <w:tcW w:type="dxa" w:w="4535"/>
          </w:tcPr>
          <w:p>
            <w:r>
              <w:rPr>
                <w:sz w:val="20"/>
              </w:rPr>
              <w:t>Amounts in figures and words do not match</w:t>
            </w:r>
          </w:p>
        </w:tc>
        <w:tc>
          <w:tcPr>
            <w:tcW w:type="dxa" w:w="4535"/>
          </w:tcPr>
          <w:p>
            <w:r>
              <w:rPr>
                <w:sz w:val="20"/>
              </w:rPr>
              <w:t>Correct the mismatch before signing; courts often prefer the words.</w:t>
            </w:r>
          </w:p>
        </w:tc>
      </w:tr>
      <w:tr>
        <w:tc>
          <w:tcPr>
            <w:tcW w:type="dxa" w:w="567"/>
          </w:tcPr>
          <w:p>
            <w:r>
              <w:rPr>
                <w:sz w:val="20"/>
              </w:rPr>
              <w:t>☐</w:t>
            </w:r>
          </w:p>
        </w:tc>
        <w:tc>
          <w:tcPr>
            <w:tcW w:type="dxa" w:w="4535"/>
          </w:tcPr>
          <w:p>
            <w:r>
              <w:rPr>
                <w:sz w:val="20"/>
              </w:rPr>
              <w:t>Schedules or annexures "as agreed" but not attached</w:t>
            </w:r>
          </w:p>
        </w:tc>
        <w:tc>
          <w:tcPr>
            <w:tcW w:type="dxa" w:w="4535"/>
          </w:tcPr>
          <w:p>
            <w:r>
              <w:rPr>
                <w:sz w:val="20"/>
              </w:rPr>
              <w:t>Attach and sign every schedule.</w:t>
            </w:r>
          </w:p>
        </w:tc>
      </w:tr>
      <w:tr>
        <w:tc>
          <w:tcPr>
            <w:tcW w:type="dxa" w:w="567"/>
          </w:tcPr>
          <w:p>
            <w:r>
              <w:rPr>
                <w:sz w:val="20"/>
              </w:rPr>
              <w:t>☐</w:t>
            </w:r>
          </w:p>
        </w:tc>
        <w:tc>
          <w:tcPr>
            <w:tcW w:type="dxa" w:w="4535"/>
          </w:tcPr>
          <w:p>
            <w:r>
              <w:rPr>
                <w:sz w:val="20"/>
              </w:rPr>
              <w:t>Signatory is not the owner, director or an authorised person</w:t>
            </w:r>
          </w:p>
        </w:tc>
        <w:tc>
          <w:tcPr>
            <w:tcW w:type="dxa" w:w="4535"/>
          </w:tcPr>
          <w:p>
            <w:r>
              <w:rPr>
                <w:sz w:val="20"/>
              </w:rPr>
              <w:t>Ask for the authority document (resolution, POA, partner consent).</w:t>
            </w:r>
          </w:p>
        </w:tc>
      </w:tr>
      <w:tr>
        <w:tc>
          <w:tcPr>
            <w:tcW w:type="dxa" w:w="567"/>
          </w:tcPr>
          <w:p>
            <w:r>
              <w:rPr>
                <w:sz w:val="20"/>
              </w:rPr>
              <w:t>☐</w:t>
            </w:r>
          </w:p>
        </w:tc>
        <w:tc>
          <w:tcPr>
            <w:tcW w:type="dxa" w:w="4535"/>
          </w:tcPr>
          <w:p>
            <w:r>
              <w:rPr>
                <w:sz w:val="20"/>
              </w:rPr>
              <w:t>Cash payments of large amounts</w:t>
            </w:r>
          </w:p>
        </w:tc>
        <w:tc>
          <w:tcPr>
            <w:tcW w:type="dxa" w:w="4535"/>
          </w:tcPr>
          <w:p>
            <w:r>
              <w:rPr>
                <w:sz w:val="20"/>
              </w:rPr>
              <w:t>Bank transfer or cheque, with receipts; some countries ban large cash deals.</w:t>
            </w:r>
          </w:p>
        </w:tc>
      </w:tr>
      <w:tr>
        <w:tc>
          <w:tcPr>
            <w:tcW w:type="dxa" w:w="567"/>
          </w:tcPr>
          <w:p>
            <w:r>
              <w:rPr>
                <w:sz w:val="20"/>
              </w:rPr>
              <w:t>☐</w:t>
            </w:r>
          </w:p>
        </w:tc>
        <w:tc>
          <w:tcPr>
            <w:tcW w:type="dxa" w:w="4535"/>
          </w:tcPr>
          <w:p>
            <w:r>
              <w:rPr>
                <w:sz w:val="20"/>
              </w:rPr>
              <w:t>Unclear who pays stamp duty, tax or registration</w:t>
            </w:r>
          </w:p>
        </w:tc>
        <w:tc>
          <w:tcPr>
            <w:tcW w:type="dxa" w:w="4535"/>
          </w:tcPr>
          <w:p>
            <w:r>
              <w:rPr>
                <w:sz w:val="20"/>
              </w:rPr>
              <w:t>Name the party that pays each cost.</w:t>
            </w:r>
          </w:p>
        </w:tc>
      </w:tr>
      <w:tr>
        <w:tc>
          <w:tcPr>
            <w:tcW w:type="dxa" w:w="567"/>
          </w:tcPr>
          <w:p>
            <w:r>
              <w:rPr>
                <w:sz w:val="20"/>
              </w:rPr>
              <w:t>☐</w:t>
            </w:r>
          </w:p>
        </w:tc>
        <w:tc>
          <w:tcPr>
            <w:tcW w:type="dxa" w:w="4535"/>
          </w:tcPr>
          <w:p>
            <w:r>
              <w:rPr>
                <w:sz w:val="20"/>
              </w:rPr>
              <w:t>Copied text naming a different country's law or another business</w:t>
            </w:r>
          </w:p>
        </w:tc>
        <w:tc>
          <w:tcPr>
            <w:tcW w:type="dxa" w:w="4535"/>
          </w:tcPr>
          <w:p>
            <w:r>
              <w:rPr>
                <w:sz w:val="20"/>
              </w:rPr>
              <w:t>Remove every leftover from the source document.</w:t>
            </w:r>
          </w:p>
        </w:tc>
      </w:tr>
    </w:tbl>
    <w:p>
      <w:pPr>
        <w:spacing w:after="40"/>
      </w:pPr>
    </w:p>
    <w:p>
      <w:pPr>
        <w:spacing w:after="80"/>
      </w:pPr>
      <w:r>
        <w:rPr>
          <w:b/>
          <w:i w:val="0"/>
          <w:color w:val="2563EB"/>
          <w:sz w:val="24"/>
        </w:rPr>
        <w:t>Signing formalities by country (check the current rule)</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247"/>
            <w:shd w:val="clear" w:color="auto" w:fill="2563EB"/>
          </w:tcPr>
          <w:p>
            <w:r/>
            <w:r>
              <w:rPr>
                <w:b/>
                <w:color w:val="FFFFFF"/>
                <w:sz w:val="20"/>
              </w:rPr>
              <w:t>Country</w:t>
            </w:r>
          </w:p>
        </w:tc>
        <w:tc>
          <w:tcPr>
            <w:tcW w:type="dxa" w:w="2268"/>
            <w:shd w:val="clear" w:color="auto" w:fill="2563EB"/>
          </w:tcPr>
          <w:p>
            <w:r/>
            <w:r>
              <w:rPr>
                <w:b/>
                <w:color w:val="FFFFFF"/>
                <w:sz w:val="20"/>
              </w:rPr>
              <w:t>Stamp duty</w:t>
            </w:r>
          </w:p>
        </w:tc>
        <w:tc>
          <w:tcPr>
            <w:tcW w:type="dxa" w:w="2551"/>
            <w:shd w:val="clear" w:color="auto" w:fill="2563EB"/>
          </w:tcPr>
          <w:p>
            <w:r/>
            <w:r>
              <w:rPr>
                <w:b/>
                <w:color w:val="FFFFFF"/>
                <w:sz w:val="20"/>
              </w:rPr>
              <w:t>Registration</w:t>
            </w:r>
          </w:p>
        </w:tc>
        <w:tc>
          <w:tcPr>
            <w:tcW w:type="dxa" w:w="2041"/>
            <w:shd w:val="clear" w:color="auto" w:fill="2563EB"/>
          </w:tcPr>
          <w:p>
            <w:r/>
            <w:r>
              <w:rPr>
                <w:b/>
                <w:color w:val="FFFFFF"/>
                <w:sz w:val="20"/>
              </w:rPr>
              <w:t>Witnesses and notary</w:t>
            </w:r>
          </w:p>
        </w:tc>
        <w:tc>
          <w:tcPr>
            <w:tcW w:type="dxa" w:w="1531"/>
            <w:shd w:val="clear" w:color="auto" w:fill="2563EB"/>
          </w:tcPr>
          <w:p>
            <w:r/>
            <w:r>
              <w:rPr>
                <w:b/>
                <w:color w:val="FFFFFF"/>
                <w:sz w:val="20"/>
              </w:rPr>
              <w:t>Language</w:t>
            </w:r>
          </w:p>
        </w:tc>
      </w:tr>
      <w:tr>
        <w:tc>
          <w:tcPr>
            <w:tcW w:type="dxa" w:w="1247"/>
          </w:tcPr>
          <w:p>
            <w:r>
              <w:rPr>
                <w:sz w:val="20"/>
              </w:rPr>
              <w:t>India</w:t>
            </w:r>
          </w:p>
        </w:tc>
        <w:tc>
          <w:tcPr>
            <w:tcW w:type="dxa" w:w="2268"/>
          </w:tcPr>
          <w:p>
            <w:r>
              <w:rPr>
                <w:sz w:val="20"/>
              </w:rPr>
              <w:t>Most agreements are stamped under the Indian or state Stamp Act (stamp paper, e-stamp or franking); amount depends on the state and document.</w:t>
            </w:r>
          </w:p>
        </w:tc>
        <w:tc>
          <w:tcPr>
            <w:tcW w:type="dxa" w:w="2551"/>
          </w:tcPr>
          <w:p>
            <w:r>
              <w:rPr>
                <w:sz w:val="20"/>
              </w:rPr>
              <w:t>Leases of 12 months or more, sale of immovable property, and some powers of attorney must be registered (Registration Act, 1908). Some states register all rent agreements.</w:t>
            </w:r>
          </w:p>
        </w:tc>
        <w:tc>
          <w:tcPr>
            <w:tcW w:type="dxa" w:w="2041"/>
          </w:tcPr>
          <w:p>
            <w:r>
              <w:rPr>
                <w:sz w:val="20"/>
              </w:rPr>
              <w:t>Two witnesses is common practice; notary for affidavits and powers of attorney.</w:t>
            </w:r>
          </w:p>
        </w:tc>
        <w:tc>
          <w:tcPr>
            <w:tcW w:type="dxa" w:w="1531"/>
          </w:tcPr>
          <w:p>
            <w:r>
              <w:rPr>
                <w:sz w:val="20"/>
              </w:rPr>
              <w:t>Any language; English widely used.</w:t>
            </w:r>
          </w:p>
        </w:tc>
      </w:tr>
      <w:tr>
        <w:tc>
          <w:tcPr>
            <w:tcW w:type="dxa" w:w="1247"/>
          </w:tcPr>
          <w:p>
            <w:r>
              <w:rPr>
                <w:sz w:val="20"/>
              </w:rPr>
              <w:t>United Kingdom</w:t>
            </w:r>
          </w:p>
        </w:tc>
        <w:tc>
          <w:tcPr>
            <w:tcW w:type="dxa" w:w="2268"/>
          </w:tcPr>
          <w:p>
            <w:r>
              <w:rPr>
                <w:sz w:val="20"/>
              </w:rPr>
              <w:t>No stamp duty on most contracts; SDLT, LBTT or LTT on land deals; stamp duty on some share transfers.</w:t>
            </w:r>
          </w:p>
        </w:tc>
        <w:tc>
          <w:tcPr>
            <w:tcW w:type="dxa" w:w="2551"/>
          </w:tcPr>
          <w:p>
            <w:r>
              <w:rPr>
                <w:sz w:val="20"/>
              </w:rPr>
              <w:t>Leases over 7 years and property transfers at HM Land Registry.</w:t>
            </w:r>
          </w:p>
        </w:tc>
        <w:tc>
          <w:tcPr>
            <w:tcW w:type="dxa" w:w="2041"/>
          </w:tcPr>
          <w:p>
            <w:r>
              <w:rPr>
                <w:sz w:val="20"/>
              </w:rPr>
              <w:t>Deeds need one witness; most contracts need none.</w:t>
            </w:r>
          </w:p>
        </w:tc>
        <w:tc>
          <w:tcPr>
            <w:tcW w:type="dxa" w:w="1531"/>
          </w:tcPr>
          <w:p>
            <w:r>
              <w:rPr>
                <w:sz w:val="20"/>
              </w:rPr>
              <w:t>English (Welsh also valid in Wales).</w:t>
            </w:r>
          </w:p>
        </w:tc>
      </w:tr>
      <w:tr>
        <w:tc>
          <w:tcPr>
            <w:tcW w:type="dxa" w:w="1247"/>
          </w:tcPr>
          <w:p>
            <w:r>
              <w:rPr>
                <w:sz w:val="20"/>
              </w:rPr>
              <w:t>United States</w:t>
            </w:r>
          </w:p>
        </w:tc>
        <w:tc>
          <w:tcPr>
            <w:tcW w:type="dxa" w:w="2268"/>
          </w:tcPr>
          <w:p>
            <w:r>
              <w:rPr>
                <w:sz w:val="20"/>
              </w:rPr>
              <w:t>No general stamp duty; some states and counties charge transfer or recording taxes on real estate.</w:t>
            </w:r>
          </w:p>
        </w:tc>
        <w:tc>
          <w:tcPr>
            <w:tcW w:type="dxa" w:w="2551"/>
          </w:tcPr>
          <w:p>
            <w:r>
              <w:rPr>
                <w:sz w:val="20"/>
              </w:rPr>
              <w:t>Real-estate deeds and some leases recorded with the county.</w:t>
            </w:r>
          </w:p>
        </w:tc>
        <w:tc>
          <w:tcPr>
            <w:tcW w:type="dxa" w:w="2041"/>
          </w:tcPr>
          <w:p>
            <w:r>
              <w:rPr>
                <w:sz w:val="20"/>
              </w:rPr>
              <w:t>Notary for powers of attorney and recorded documents; witnesses for some state forms.</w:t>
            </w:r>
          </w:p>
        </w:tc>
        <w:tc>
          <w:tcPr>
            <w:tcW w:type="dxa" w:w="1531"/>
          </w:tcPr>
          <w:p>
            <w:r>
              <w:rPr>
                <w:sz w:val="20"/>
              </w:rPr>
              <w:t>English; some states require a translation for consumers.</w:t>
            </w:r>
          </w:p>
        </w:tc>
      </w:tr>
      <w:tr>
        <w:tc>
          <w:tcPr>
            <w:tcW w:type="dxa" w:w="1247"/>
          </w:tcPr>
          <w:p>
            <w:r>
              <w:rPr>
                <w:sz w:val="20"/>
              </w:rPr>
              <w:t>UAE</w:t>
            </w:r>
          </w:p>
        </w:tc>
        <w:tc>
          <w:tcPr>
            <w:tcW w:type="dxa" w:w="2268"/>
          </w:tcPr>
          <w:p>
            <w:r>
              <w:rPr>
                <w:sz w:val="20"/>
              </w:rPr>
              <w:t>No general stamp duty; registration fees for tenancy and property.</w:t>
            </w:r>
          </w:p>
        </w:tc>
        <w:tc>
          <w:tcPr>
            <w:tcW w:type="dxa" w:w="2551"/>
          </w:tcPr>
          <w:p>
            <w:r>
              <w:rPr>
                <w:sz w:val="20"/>
              </w:rPr>
              <w:t>Tenancies on Ejari (Dubai) or Tawtheeq (Abu Dhabi); property sales at the land department; employment on the official MOHRE contract.</w:t>
            </w:r>
          </w:p>
        </w:tc>
        <w:tc>
          <w:tcPr>
            <w:tcW w:type="dxa" w:w="2041"/>
          </w:tcPr>
          <w:p>
            <w:r>
              <w:rPr>
                <w:sz w:val="20"/>
              </w:rPr>
              <w:t>Notary public for powers of attorney; legalisation for documents signed abroad.</w:t>
            </w:r>
          </w:p>
        </w:tc>
        <w:tc>
          <w:tcPr>
            <w:tcW w:type="dxa" w:w="1531"/>
          </w:tcPr>
          <w:p>
            <w:r>
              <w:rPr>
                <w:sz w:val="20"/>
              </w:rPr>
              <w:t>Courts work in Arabic: a certified Arabic translation may be needed.</w:t>
            </w:r>
          </w:p>
        </w:tc>
      </w:tr>
    </w:tbl>
    <w:p>
      <w:pPr>
        <w:spacing w:after="40"/>
      </w:pPr>
    </w:p>
    <w:p>
      <w:pPr>
        <w:spacing w:after="120"/>
      </w:pPr>
      <w:r>
        <w:rPr>
          <w:b w:val="0"/>
          <w:i/>
          <w:color w:val="64748B"/>
          <w:sz w:val="18"/>
        </w:rPr>
        <w:t>Guidance: Rules change and differ by state, emirate and city. Ask a local lawyer, notary or stamp vendor for the current amount and procedure.</w:t>
      </w:r>
    </w:p>
    <w:p>
      <w:pPr>
        <w:spacing w:after="80"/>
      </w:pPr>
      <w:r>
        <w:rPr>
          <w:b/>
          <w:i w:val="0"/>
          <w:color w:val="2563EB"/>
          <w:sz w:val="24"/>
        </w:rPr>
        <w:t>Sign-off</w:t>
      </w:r>
    </w:p>
    <w:tbl>
      <w:tblPr>
        <w:tblStyle w:val="TableGrid"/>
        <w:tblW w:type="auto" w:w="0"/>
        <w:tblLook w:firstColumn="1" w:firstRow="1" w:lastColumn="0" w:lastRow="0" w:noHBand="0" w:noVBand="1" w:val="04A0"/>
      </w:tblPr>
      <w:tblGrid>
        <w:gridCol w:w="4819"/>
        <w:gridCol w:w="4819"/>
      </w:tblGrid>
      <w:tr>
        <w:tc>
          <w:tcPr>
            <w:tcW w:type="dxa" w:w="4819"/>
            <w:shd w:val="clear" w:color="auto" w:fill="E8F0FE"/>
          </w:tcPr>
          <w:p>
            <w:r>
              <w:rPr>
                <w:b/>
                <w:sz w:val="20"/>
              </w:rPr>
              <w:t>Changes asked for</w:t>
            </w:r>
          </w:p>
        </w:tc>
        <w:tc>
          <w:tcPr>
            <w:tcW w:type="dxa" w:w="4819"/>
            <w:shd w:val="clear" w:color="auto" w:fill="FFF7D6"/>
          </w:tcPr>
          <w:p>
            <w:r>
              <w:rPr>
                <w:sz w:val="20"/>
              </w:rPr>
              <w:t>[ ]</w:t>
            </w:r>
          </w:p>
        </w:tc>
      </w:tr>
      <w:tr>
        <w:tc>
          <w:tcPr>
            <w:tcW w:type="dxa" w:w="4819"/>
            <w:shd w:val="clear" w:color="auto" w:fill="E8F0FE"/>
          </w:tcPr>
          <w:p>
            <w:r>
              <w:rPr>
                <w:b/>
                <w:sz w:val="20"/>
              </w:rPr>
              <w:t>Changes agreed</w:t>
            </w:r>
          </w:p>
        </w:tc>
        <w:tc>
          <w:tcPr>
            <w:tcW w:type="dxa" w:w="4819"/>
            <w:shd w:val="clear" w:color="auto" w:fill="FFF7D6"/>
          </w:tcPr>
          <w:p>
            <w:r>
              <w:rPr>
                <w:sz w:val="20"/>
              </w:rPr>
              <w:t>[ ]</w:t>
            </w:r>
          </w:p>
        </w:tc>
      </w:tr>
      <w:tr>
        <w:tc>
          <w:tcPr>
            <w:tcW w:type="dxa" w:w="4819"/>
            <w:shd w:val="clear" w:color="auto" w:fill="E8F0FE"/>
          </w:tcPr>
          <w:p>
            <w:r>
              <w:rPr>
                <w:b/>
                <w:sz w:val="20"/>
              </w:rPr>
              <w:t>Open points</w:t>
            </w:r>
          </w:p>
        </w:tc>
        <w:tc>
          <w:tcPr>
            <w:tcW w:type="dxa" w:w="4819"/>
            <w:shd w:val="clear" w:color="auto" w:fill="FFF7D6"/>
          </w:tcPr>
          <w:p>
            <w:r>
              <w:rPr>
                <w:sz w:val="20"/>
              </w:rPr>
              <w:t>[ ]</w:t>
            </w:r>
          </w:p>
        </w:tc>
      </w:tr>
      <w:tr>
        <w:tc>
          <w:tcPr>
            <w:tcW w:type="dxa" w:w="4819"/>
            <w:shd w:val="clear" w:color="auto" w:fill="E8F0FE"/>
          </w:tcPr>
          <w:p>
            <w:r>
              <w:rPr>
                <w:b/>
                <w:sz w:val="20"/>
              </w:rPr>
              <w:t>Decision</w:t>
            </w:r>
          </w:p>
        </w:tc>
        <w:tc>
          <w:tcPr>
            <w:tcW w:type="dxa" w:w="4819"/>
            <w:shd w:val="clear" w:color="auto" w:fill="FFF7D6"/>
          </w:tcPr>
          <w:p>
            <w:r>
              <w:rPr>
                <w:sz w:val="20"/>
              </w:rPr>
              <w:t>[Sign / Do not sign / Wait]</w:t>
            </w:r>
          </w:p>
        </w:tc>
      </w:tr>
      <w:tr>
        <w:tc>
          <w:tcPr>
            <w:tcW w:type="dxa" w:w="4819"/>
            <w:shd w:val="clear" w:color="auto" w:fill="E8F0FE"/>
          </w:tcPr>
          <w:p>
            <w:r>
              <w:rPr>
                <w:b/>
                <w:sz w:val="20"/>
              </w:rPr>
              <w:t>Checked by</w:t>
            </w:r>
          </w:p>
        </w:tc>
        <w:tc>
          <w:tcPr>
            <w:tcW w:type="dxa" w:w="4819"/>
            <w:shd w:val="clear" w:color="auto" w:fill="FFF7D6"/>
          </w:tcPr>
          <w:p>
            <w:r>
              <w:rPr>
                <w:sz w:val="20"/>
              </w:rPr>
              <w:t>[name, date]</w:t>
            </w:r>
          </w:p>
        </w:tc>
      </w:tr>
      <w:tr>
        <w:tc>
          <w:tcPr>
            <w:tcW w:type="dxa" w:w="4819"/>
            <w:shd w:val="clear" w:color="auto" w:fill="E8F0FE"/>
          </w:tcPr>
          <w:p>
            <w:r>
              <w:rPr>
                <w:b/>
                <w:sz w:val="20"/>
              </w:rPr>
              <w:t>Signed copy kept at</w:t>
            </w:r>
          </w:p>
        </w:tc>
        <w:tc>
          <w:tcPr>
            <w:tcW w:type="dxa" w:w="4819"/>
            <w:shd w:val="clear" w:color="auto" w:fill="FFF7D6"/>
          </w:tcPr>
          <w:p>
            <w:r>
              <w:rPr>
                <w:sz w:val="20"/>
              </w:rPr>
              <w:t>[file / folder]</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Checklist Before You Sign (Word)</dc:title>
  <dc:subject>Free Word checklist to review an agreement before you sign: parties, money, dates, termination, risk clauses, red flags, and stamp duty, registration and witness checks for India, UK, US and UAE.</dc:subject>
  <dc:creator>Nivesh Sahayak</dc:creator>
  <cp:keywords>Toolkit by GroupChatOn</cp:keywords>
  <dc:description>From Toolkit by GroupChatOn (https://toolkit.groupchaton.com/contracts/ct-contract-checklist-word/). Designed &amp; Developed by: Nivesh Sahayak (https://www.niveshsahayak.in/)</dc:description>
  <cp:lastModifiedBy>Nivesh Sahayak</cp:lastModifiedBy>
  <cp:revision>1</cp:revision>
  <dcterms:created xsi:type="dcterms:W3CDTF">2026-11-02T23:51:52Z</dcterms:created>
  <dcterms:modified xsi:type="dcterms:W3CDTF">2026-11-02T23:51:52Z</dcterms:modified>
  <cp:category/>
</cp:coreProperties>
</file>